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zjišťuje spokojenost lidí s bikesharingem</w:t>
      </w:r>
    </w:p>
    <w:p>
      <w:pPr/>
      <w:r>
        <w:rPr>
          <w:b w:val="1"/>
          <w:bCs w:val="1"/>
        </w:rPr>
        <w:t xml:space="preserve">Sdílení jízdních kol se už stalo neodmyslitelnou součástí života mnoha Ostravanů. Vedení města se snaží tuto službu stále vylepšovat a proto mají nyní lidé možnost ovlivnit fungování bikesharingu. Stačí vyplnit formulář na internetu a připomínky budou využity pro další rok.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2026-03-10T02:42:14+01:00</dcterms:created>
  <dcterms:modified xsi:type="dcterms:W3CDTF">2026-03-10T02:42:14+01:00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