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ulicích jsou černé popelnice na oleje</w:t>
      </w:r>
    </w:p>
    <w:p>
      <w:pPr/>
      <w:r>
        <w:rPr>
          <w:b w:val="1"/>
          <w:bCs w:val="1"/>
        </w:rPr>
        <w:t xml:space="preserve">Radnice přistoupila ke změně systému sběru použitých jedlých olejů. Lidé je dosud mohli odevzdávat na separačních dvorech. Teď už jsou ale ve městě rozmístěny také speciální kontejnery na tuto surovinu.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 </w:t>
      </w:r>
    </w:p>
    <w:p>
      <w:pPr/>
      <w:r>
        <w:rPr/>
        <w:t xml:space="preserve">Přesné rozmístění černých popelnic lze dohledat na mapě na webu města, kde jsou zobrazeny polohy kontejnerů na všechny druhy tříděného odpadu.  </w:t>
      </w:r>
    </w:p>
    <w:p>
      <w:pPr/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uchránili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2026-02-11T23:20:13+01:00</dcterms:created>
  <dcterms:modified xsi:type="dcterms:W3CDTF">2026-02-11T23:20:13+01:00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