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KAPLE SVATÉHO ANTONÍNA PADUÁNSKÉHO MÁ NOVÝ KABÁT</w:t>
      </w:r>
    </w:p>
    <w:p>
      <w:pPr/>
      <w:r>
        <w:rPr>
          <w:b w:val="1"/>
          <w:bCs w:val="1"/>
        </w:rPr>
        <w:t xml:space="preserve">Frýdlant nad Ostravicí získal loni do svého majetku kapli sv. Antonína na Ondřejníku. Ta dostala kompletně nový kabát.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1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