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má schválený rozpočet</w:t>
      </w:r>
    </w:p>
    <w:p>
      <w:pPr/>
      <w:r>
        <w:rPr>
          <w:b w:val="1"/>
          <w:bCs w:val="1"/>
        </w:rPr>
        <w:t xml:space="preserve">Zastupitelé obvodu Moravská Ostrava a Přívoz po velké diskusi schválili rozpočet na příští rok. A to ve výši bezmála 532 milionů korun. Na investice tak radnice bude mít o více než 30 milionů méně než letos..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“Takovou mantrou opozice je, že nedáváme peníze na ozdravné pobyty dětí, což si úplně nemyslím, že je správné tvrzení. Protože všechny MŠ i ZŠ si mohou požádat o dotaci. Potom se krátily se i dotace na kulturu, sport a jiné aktivity, které jsou vyhlášeny dotačním programem.”</w:t>
      </w:r>
    </w:p>
    <w:p>
      <w:pPr/>
      <w:r>
        <w:rPr/>
        <w:t xml:space="preserve">Klesly z 3 milionů 700 tisíc na 2 a půl milionů korun,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“Protože v této výši byly vlastně i ty prostředky čerpány. Stalo se nám, že nám některé subjekty, které si požádaly o dotaci, příspěvky vrátily, protože skutečně ty jejich projekty nebylo možné zrealizovat. “</w:t>
      </w:r>
    </w:p>
    <w:p>
      <w:pPr/>
      <w:r>
        <w:rPr/>
        <w:t xml:space="preserve">Počítá se i s úvěrem, díky kterému budou pokračovat velké investiční akce jako revitalizace sídliště Fifejdy a Šalamouna, nebo úprava bytového fondu.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“Již v roce 2020 přinesla své ovoce v tom, že jsou zde příjmy z velice příznivého nájmu pro naše občany a tím také dochází k tomu, že výpadky z hazardu, příjmy, nahrazujeme vlastně příjmy z bytového fondu, což si myslím, že je dobrý směr a tímto by jsme se měli dále také ubírat.”</w:t>
      </w:r>
    </w:p>
    <w:p>
      <w:pPr/>
      <w:r>
        <w:rPr/>
        <w:t xml:space="preserve">A obvod bude pokračovat i v opravách škol a školek,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2026-03-01T12:41:23+01:00</dcterms:created>
  <dcterms:modified xsi:type="dcterms:W3CDTF">2026-03-01T12:41:23+01:00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