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místo pro radar se připravuje v Bludovicích</w:t>
      </w:r>
    </w:p>
    <w:p>
      <w:pPr/>
      <w:r>
        <w:rPr>
          <w:b w:val="1"/>
          <w:bCs w:val="1"/>
        </w:rPr>
        <w:t xml:space="preserve">Další lokalita pro měření rychlosti vozidel bude v místní části Bludovice, v blízkosti mateřské školy. Umístění radaru řešilo město s dopravní policií a strážníky. Silnice, která tudy vede,  je plná kamionů a řidiči tu padesátku často překračují.</w:t>
      </w:r>
    </w:p>
    <w:p>
      <w:pPr/>
      <w:r>
        <w:rPr/>
        <w:t xml:space="preserve">S měřením rychlosti vozidel začala městská policie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té úřednické činnosti dopravní policie vyplývá, že v tomto úseku se koná ta přestupková činnost, konkrétně vysoká rychlost řidičů. I na doporučení dopravní policie jsme se shodli na dalším umístění toho bodového měření. 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My jsme samozřejmě rádi, že v Bludovicích bude umístěn radar, protože i po zkušenostech s předchozím radarem, který ale neuděloval pokuty,  se nám zdálo, že doprava se zklidnila. Takže si myslíme, že to pomůže jak kvalitě života, to znamená ztišení té dopravy, tak i bezpečnosti v Bludovicích.”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výbor, na základě podnětů občanů, dlouhodobě pracuje na tom, aby Bludovice byly bezpečnější. Vybudovat tu přechod pro chodce trvalo několik let, stejně jako rozšíření cyklostezky a umožnění chodcům, aby se dostali k autobusové zastávce. Takže my tu dopravu vnímáme jako velice bolavé místo a těšíme se i na Palačovskou spojku, že nám uleví s nákladní dopravou a tak dále.”  </w:t>
      </w:r>
    </w:p>
    <w:p>
      <w:pPr/>
      <w:r>
        <w:rPr/>
        <w:t xml:space="preserve">Na základě podnětu osadního výboru se tu na konci roku 2019 také podařilo zrealizovat bezpečnější přecházení silnice na konci Bludovic. Hlavní komunikaci tu rozdělil ostrůvek,  a vznikl zde nový prostor pro autobusovou zastávku u České školy.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“Nejdůležitějším faktorem je, abychom splňovali metodiku umisťování těchto zařízení, to znamená,  že musí být umístěno v blízkosti školského zařízení a v blízkosti přechodu pro chodce.” </w:t>
      </w:r>
    </w:p>
    <w:p>
      <w:pPr/>
      <w:r>
        <w:rPr/>
        <w:t xml:space="preserve">Městská policie ke konci roku vyhodnotila účinnost radaru na Revoluční ulici. Ke správnímu řízení putovalo 12  a půl tisíce oznámení o překročení rychlosti.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“Dopravní situace  na ulici Revoluční se nám po umístění radaru zklidnila. Po spuštění radaru se počty přestupků pohybovaly až kolem 80 denně. Po ustálení situace a přivyknutí řidičů, tak jsem se v současné době dostali na 40 až 50 přestupků denně. Samozřejmě je to v závislosti na počasí. Ta sama situace by měla nastat na ulici Palackého. K dnešnímu dni došlo k ověření jednotlivých míst a bude vše nachystáno, abychom byli schopni radar přemisťovat na ulici Palackého.”      </w:t>
      </w:r>
    </w:p>
    <w:p>
      <w:pPr/>
      <w:r>
        <w:rPr/>
        <w:t xml:space="preserve">Zařízení pro měření rychlosti na území města na konci února prověřil český metrologický ústav, ze zákona je nutné zkalibrovat tyto přístroje minimálně jednou ročně. </w:t>
      </w:r>
    </w:p>
    <w:p>
      <w:pPr/>
      <w:r>
        <w:rPr/>
        <w:t xml:space="preserve">Samotný radar zatím město vlastní jeden a ten bude po měřících stanovištích rotovat. Rychlost měří obousměrně.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pomůže městu, investorům i veřejnosti</w:t>
      </w:r>
    </w:p>
    <w:p>
      <w:pPr/>
      <w:r>
        <w:rPr>
          <w:b w:val="1"/>
          <w:bCs w:val="1"/>
        </w:rPr>
        <w:t xml:space="preserve">Radnice hledá externího architekta. Měl by být poradcem u významných projektů, a to nejen pro město. Odbornou radu u něj získají také občané nebo investoři, kteří plánují své stavební záměry na území města.</w:t>
      </w:r>
    </w:p>
    <w:p>
      <w:pPr/>
      <w:r>
        <w:rPr/>
        <w:t xml:space="preserve">Na počátku tohoto volebního období vedení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 Ale i konzultační činnost s komisí města pro architekturu a rozvoj i pro  investory, kteří mají větší záměry na území města.”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”Jdeme formou veřejné zakázky, čili ten budoucí městský architekt bude pracovat na IČO jako osoba samostatně výdělečně činná. Nebude tedy přímo zaměstnancem města a bude pobírat za tuto činnost odměnu.”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 v areálu u Grasmanky, ale také i menší projekty rekonstrukce smuteční síně na hřbitově nebo pěší lávky na ulici Novosady. Dohlížet bude také na revitalizaci sídlišť a veřejného prostoru.  </w:t>
      </w:r>
    </w:p>
    <w:p>
      <w:pPr/>
      <w:r>
        <w:rPr/>
        <w:t xml:space="preserve">Zájemci mohou své nabídky podávat do 17. března, detailní informace jsou na webu města. </w:t>
      </w:r>
    </w:p>
    <w:p>
      <w:pP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2026-02-15T05:59:04+01:00</dcterms:created>
  <dcterms:modified xsi:type="dcterms:W3CDTF">2026-02-15T05:59:04+01:00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