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br/>
      <w:br/>
      <w:r>
        <w:rPr>
          <w:b w:val="1"/>
          <w:bCs w:val="1"/>
        </w:rPr>
        <w:t xml:space="preserve">Konference o budoucnosti telemedicíny</w:t>
      </w:r>
      <w:br/>
      <w:br/>
      <w:r>
        <w:rPr/>
        <w:t xml:space="preserve">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br/>
      <w:br/>
      <w:r>
        <w:rPr>
          <w:b w:val="1"/>
          <w:bCs w:val="1"/>
        </w:rPr>
        <w:t xml:space="preserve">Úspěch zaměstnanců FNO v běžeckých závodech</w:t>
      </w:r>
      <w:b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2026-02-28T13:59:13+01:00</dcterms:created>
  <dcterms:modified xsi:type="dcterms:W3CDTF">2026-02-28T13:59:13+01:00</dcterms:modified>
</cp:coreProperties>
</file>

<file path=docProps/custom.xml><?xml version="1.0" encoding="utf-8"?>
<Properties xmlns="http://schemas.openxmlformats.org/officeDocument/2006/custom-properties" xmlns:vt="http://schemas.openxmlformats.org/officeDocument/2006/docPropsVTypes"/>
</file>