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Kamenný kříž u Kojetína je bez prasklin a stabilní</w:t>
      </w:r>
    </w:p>
    <w:p>
      <w:pPr/>
      <w:r>
        <w:rPr>
          <w:b w:val="1"/>
          <w:bCs w:val="1"/>
        </w:rPr>
        <w:t xml:space="preserve">Město nechalo opravit kříž, který stojí ve svahu pod Kojetínem. V kameni už byly praskliny, v podmáčeném podloží byl kříž navíc nestabilní a hrozil jeho pád. Celkem letos do obnovy památek investovala radnice více než 4 miliony korun.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 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gymnázia volili koalice</w:t>
      </w:r>
    </w:p>
    <w:p>
      <w:pPr/>
      <w:r>
        <w:rPr>
          <w:b w:val="1"/>
          <w:bCs w:val="1"/>
        </w:rPr>
        <w:t xml:space="preserve">Středoškoláci si vyzkoušeli volby nanečisto. Své hlasy ke složení poslanecké sněmovny rozdali například i novojičínští gymnazisté. Vyhrála u nich koalice Pirátů a STAN.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Acta Mythologica o vztahu vlka, vlkodlaka a člověka</w:t>
      </w:r>
    </w:p>
    <w:p>
      <w:pPr/>
      <w:r>
        <w:rPr>
          <w:b w:val="1"/>
          <w:bCs w:val="1"/>
        </w:rPr>
        <w:t xml:space="preserve">S novým projektem, který návštěvníky zavede do zaniklého světa mýtů dávného Kravařska, přichází Muzeum Novojičínska. Impulsem byl mimo jiné nález pověsti o vlkodlakovi, který údajně řádil v nedalekých lesích.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2026-02-18T06:55:49+01:00</dcterms:created>
  <dcterms:modified xsi:type="dcterms:W3CDTF">2026-02-18T06:55:49+01:00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