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největších investičních akcí roku 2021</w:t>
      </w:r>
    </w:p>
    <w:p>
      <w:pPr/>
      <w:r>
        <w:rPr>
          <w:b w:val="1"/>
          <w:bCs w:val="1"/>
        </w:rPr>
        <w:t xml:space="preserve">Přinášíme vám sestřih největších investičních akcí, které se radnici Ostravy-Jihu podařilo realizovat v roce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2026-03-01T20:01:01+01:00</dcterms:created>
  <dcterms:modified xsi:type="dcterms:W3CDTF">2026-03-01T20:01:01+01:00</dcterms:modified>
</cp:coreProperties>
</file>

<file path=docProps/custom.xml><?xml version="1.0" encoding="utf-8"?>
<Properties xmlns="http://schemas.openxmlformats.org/officeDocument/2006/custom-properties" xmlns:vt="http://schemas.openxmlformats.org/officeDocument/2006/docPropsVTypes"/>
</file>