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opět uspěla v Místní agendě 21</w:t>
      </w:r>
    </w:p>
    <w:p>
      <w:pPr/>
      <w:r>
        <w:rPr>
          <w:b w:val="1"/>
          <w:bCs w:val="1"/>
        </w:rPr>
        <w:t xml:space="preserve">Slezská Ostrava znovu obhájila post v rámci své kategorie v programu Místní agendy 21. Jde o soubor deseti kritérií, které mají vézt ke zkvalitnění života obyvatel i prostředí.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"Mezi priority městského obvodu v tomto ohledu tedy  patří nejenom proměna veřejných prostranství. Nebo péče o životní prostředí,  ale především zapojování občanů do rozhodování o tom, jak prostředí kolem nich  bude vypadat, a to komunitní plánování právě s veřejností. Městský obvod tak dlouhodobě organizuje například veřejná  setkání s občany obvodu, kde mohou připomínkovat aktuální projekty i dění kolem  nich. Zároveň provádí různá dotazníková šetření nebo umožňuje lidem vyjadřovat  se k jednotlivým investičním záměrům."</w:t>
      </w:r>
    </w:p>
    <w:p>
      <w:pPr/>
      <w:r>
        <w:rPr/>
        <w:t xml:space="preserve">Obvod veřejnost zapojil také do společných úklidových akcí.  Spolupracuje se spolkem Pestré vrstvy na projektech Strom hrdina a obnovení  Hornické pekárny. Podporuje neziskové organizace. Řadu projektů také připravuje  s Městským ateliérem prostorového plánování a architektury.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"V Místní agendě 21 jsme se před dvěma lety zařadili do kategorie  C se třemi hvězdičkami, čímž jsme mezi šestnácti nejlepšími obcemi v rámci  Místní agendy 21."</w:t>
      </w:r>
    </w:p>
    <w:p>
      <w:pPr/>
      <w:r>
        <w:rPr/>
        <w:t xml:space="preserve">V rámci Moravskoslezského kraje byl doposud ve své kategorii  jedinou obcí. Letos se připojily Bolatice a Ostrava-Poruba.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"Místní agenda 21 nám poskytuje především zpětnou odezvu na  naši práci. A zároveň motivuje k tomu, abychom při naší práci využívali  právě principy udržitelného rozvoje a chovali se odpovědně k prostředí kolem  nás."</w:t>
      </w:r>
    </w:p>
    <w:p>
      <w:pPr/>
      <w:r>
        <w:rPr/>
        <w:t xml:space="preserve">Výstupy v rámci Místní agendy 21 slouží jako podklad  pro zpracování nového strategického plánu obvodu. Ten bude doplněn dotazníkovým  šetřením mezi obyvateli, které bude probíhat v následujících měsících.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2-02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2026-06-29T04:41:53+02:00</dcterms:created>
  <dcterms:modified xsi:type="dcterms:W3CDTF">2026-06-29T04:41:53+02:00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