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aktualizovaný pasport komunikací</w:t>
      </w:r>
    </w:p>
    <w:p>
      <w:pPr/>
      <w:r>
        <w:rPr>
          <w:b w:val="1"/>
          <w:bCs w:val="1"/>
        </w:rPr>
        <w:t xml:space="preserve">K poslednímu březnu městský obvod Ostrava-Jih opět aktualizoval takzvaný pasport komunikací. Právě podle něj radnice postupně opravuje chodníky. Přednost mají ty, které jsou ve velmi špatném stavu.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Participativní rozpočet na ZŠ</w:t>
      </w:r>
    </w:p>
    <w:p>
      <w:pPr/>
      <w:r>
        <w:rPr>
          <w:b w:val="1"/>
          <w:bCs w:val="1"/>
        </w:rPr>
        <w:t xml:space="preserve">Participativní rozpočet v Ostravě-Jihu probíhá také na základních školách. Zájem dětí, které jsou velmi kreativní,  je velký. Roste i počet škol, které se do školního participativního rozpočtu zapojují.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2026-03-01T08:11:49+01:00</dcterms:created>
  <dcterms:modified xsi:type="dcterms:W3CDTF">2026-03-01T08:11:49+01:00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