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jde do ulic Ostravy i MS kraje</w:t>
      </w:r>
    </w:p>
    <w:p>
      <w:pPr/>
      <w:r>
        <w:rPr>
          <w:b w:val="1"/>
          <w:bCs w:val="1"/>
        </w:rPr>
        <w:t xml:space="preserve">Muzeum jde do ulic Ostravy i Moravskoslezského kraje. Název venkovní výstavy napovídá, jaké dva projekty vám chceme představit. V následujících měsících bude v několika ostravských obvodech, ale i na náměstích dalších 5 měst k vidění výstava ke 150. výročí ostravského muzejnictví.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2026-01-01T09:03:31+01:00</dcterms:created>
  <dcterms:modified xsi:type="dcterms:W3CDTF">2026-01-01T09:03:31+01:00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