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Odstartoval další ročník projektu Náš Jih</w:t>
      </w:r>
    </w:p>
    <w:p>
      <w:pPr/>
      <w:r>
        <w:rPr>
          <w:b w:val="1"/>
          <w:bCs w:val="1"/>
        </w:rPr>
        <w:t xml:space="preserve">Další ročník participativního rozpočtu Náš Jih je tady. Radnice na vaše nápady opět vyčlenila 10 milionů korun. Tedy dva a půl milionů korun na každou část Ostravy-Jihu. Návrhy můžete podávat právě teď.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Srbská se pyšní zrevitalizovanou zahradou</w:t>
      </w:r>
    </w:p>
    <w:p>
      <w:pPr/>
      <w:r>
        <w:rPr>
          <w:b w:val="1"/>
          <w:bCs w:val="1"/>
        </w:rPr>
        <w:t xml:space="preserve">Základní škola Srbská ve Výškovicích má nově zrekonstruovanou zahradu. Vznikl tady tartanový ovál, záhony, přístupové chodníky v zámkové dlažbě a velká pergola, které poslouží jako venkovní učebna.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2025-12-29T07:46:55+01:00</dcterms:created>
  <dcterms:modified xsi:type="dcterms:W3CDTF">2025-12-29T07:46:55+01:00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