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zástupci obcí učili, jak zvelebovat veřejné prostranství</w:t>
      </w:r>
    </w:p>
    <w:p>
      <w:pPr/>
      <w:r>
        <w:rPr>
          <w:b w:val="1"/>
          <w:bCs w:val="1"/>
        </w:rPr>
        <w:t xml:space="preserve">Veřejná prostranství jsou vizitkou každé obce. V Palkovicích se nyní konal odborný seminář o tom, jak veřejné prostory zvelebovat správně a jak na ně získávat peníze z dotací.</w:t>
      </w:r>
    </w:p>
    <w:p>
      <w:pPr/>
      <w:r>
        <w:rPr/>
        <w:t xml:space="preserve">Akci, která se věnovala problematice veřejných prostranství, uspořádala Místní akční skupina Pobeskydí společně s Celostátní sítí pro venkov.</w:t>
      </w:r>
      <w:b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2025-12-22T01:14:32+01:00</dcterms:created>
  <dcterms:modified xsi:type="dcterms:W3CDTF">2025-12-22T01:14:32+01:00</dcterms:modified>
</cp:coreProperties>
</file>

<file path=docProps/custom.xml><?xml version="1.0" encoding="utf-8"?>
<Properties xmlns="http://schemas.openxmlformats.org/officeDocument/2006/custom-properties" xmlns:vt="http://schemas.openxmlformats.org/officeDocument/2006/docPropsVTypes"/>
</file>