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bruntálském zámku</w:t>
      </w:r>
    </w:p>
    <w:p>
      <w:pPr/>
      <w:r>
        <w:rPr>
          <w:b w:val="1"/>
          <w:bCs w:val="1"/>
        </w:rPr>
        <w:t xml:space="preserve">Zámecká noc v Bruntále je každoroční velkou akcí Muzea Bruntál v tomto období. Letos byl ozvláštněna bohatým kulturním programem i dvěma novými výstavami.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