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Obec investuje do fotovoltaiky, hřiště a svítidel</w:t>
      </w:r>
    </w:p>
    <w:p>
      <w:pPr/>
      <w:r>
        <w:rPr>
          <w:b w:val="1"/>
          <w:bCs w:val="1"/>
        </w:rPr>
        <w:t xml:space="preserve">Čeladná v tuto chvíli připravuje nebo už realizuje pět větších investičních akcí. Jsou to výstavba fotovoltaické elektrárny pro základní školu a sportovní halu nebo vybudování tří nových přechodů pro chodce přes hlavní tah obcí.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2-1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2026-06-23T18:54:21+02:00</dcterms:created>
  <dcterms:modified xsi:type="dcterms:W3CDTF">2026-06-23T18:54:21+02:00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