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Čeladnou si Zubrohlava vybrala do svého projektu</w:t>
      </w:r>
    </w:p>
    <w:p>
      <w:pPr/>
      <w:r>
        <w:rPr>
          <w:b w:val="1"/>
          <w:bCs w:val="1"/>
        </w:rPr>
        <w:t xml:space="preserve">Partnerské vztahy udržují obce Čeladná a Zubrohlava ze slovenské Oravy devět let. Teď zubrohlavská základní škola přizvala tu čeladenskou do svého mezinárodního projektu s názvem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2026-02-23T12:58:54+01:00</dcterms:created>
  <dcterms:modified xsi:type="dcterms:W3CDTF">2026-02-23T12:58:54+01:00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