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v roce 2023 realizovat mnoho investičních akcí</w:t>
      </w:r>
    </w:p>
    <w:p>
      <w:pPr/>
      <w:r>
        <w:rPr>
          <w:b w:val="1"/>
          <w:bCs w:val="1"/>
        </w:rPr>
        <w:t xml:space="preserve">Albrechtičtí zastupitelé v závěru loňského roku schválili rozpočet na letošní rok. Ten je vyrovnaný. Obec bude hospodařit s částkou zhruba 80 miliónů korun.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