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dokončují rekonstrukci historického domu</w:t>
      </w:r>
    </w:p>
    <w:p>
      <w:pPr/>
      <w:r>
        <w:rPr>
          <w:b w:val="1"/>
          <w:bCs w:val="1"/>
        </w:rPr>
        <w:t xml:space="preserve">V roce 2020 se vedení Vítkovic podařilo získat výhodný úvěr na 20 let s úrokem 1,56. Tyto prostředky chtějí radní investovat především do revitalizace bytových domů. Právě díky modernizaci původně vybydlených bytů  se z Vítkovic stává dobrá adresa.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2026-04-21T14:16:26+02:00</dcterms:created>
  <dcterms:modified xsi:type="dcterms:W3CDTF">2026-04-21T14:16:26+02:00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