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ADRAběhu na podporu dětí</w:t>
      </w:r>
    </w:p>
    <w:p>
      <w:pPr/>
      <w:r>
        <w:rPr>
          <w:b w:val="1"/>
          <w:bCs w:val="1"/>
        </w:rPr>
        <w:t xml:space="preserve">ADRA v Havířově se podruhé zapojila charitativní akce Běžím pro radost. Ten se pořádá ve dvanácti městech napříč Českou republikou. Výtěžek poputuje na podporu dětí.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klub kaktusářů uspořádal výstavu</w:t>
      </w:r>
    </w:p>
    <w:p>
      <w:pPr/>
      <w:r>
        <w:rPr>
          <w:b w:val="1"/>
          <w:bCs w:val="1"/>
        </w:rPr>
        <w:t xml:space="preserve">Havířovský klub kaktusářů pořádá výstavu jen jednou za rok. Zájem ze strany veřejnosti byl velký. Lidé přivítali, že jim vystavovatelé také poradili, jak rostliny pěstovat.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2025-12-23T21:02:15+01:00</dcterms:created>
  <dcterms:modified xsi:type="dcterms:W3CDTF">2025-12-23T21:02:15+01:00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