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do stávky zapojí dvě třetiny ZŠ i MŠ</w:t>
      </w:r>
    </w:p>
    <w:p>
      <w:pPr/>
      <w:r>
        <w:rPr>
          <w:b w:val="1"/>
          <w:bCs w:val="1"/>
        </w:rPr>
        <w:t xml:space="preserve">Vyjednávání mezi odbory a ministerstvem zkrachovalo. 27. listopadu se tak školy chystají zapojit do stávky. V Moravskoslezském kraji by se mohlo jednat až o polovinu školských zařízení.  V Havířově se zapojí dvě třetiny ZŠ i MŠ a také některé střední školy.</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2025-12-19T23:40:41+01:00</dcterms:created>
  <dcterms:modified xsi:type="dcterms:W3CDTF">2025-12-19T23:40:41+01:00</dcterms:modified>
</cp:coreProperties>
</file>

<file path=docProps/custom.xml><?xml version="1.0" encoding="utf-8"?>
<Properties xmlns="http://schemas.openxmlformats.org/officeDocument/2006/custom-properties" xmlns:vt="http://schemas.openxmlformats.org/officeDocument/2006/docPropsVTypes"/>
</file>