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v Havířově udělali strategická rozhodnutí</w:t>
      </w:r>
    </w:p>
    <w:p>
      <w:pPr/>
      <w:r>
        <w:rPr>
          <w:b w:val="1"/>
          <w:bCs w:val="1"/>
        </w:rPr>
        <w:t xml:space="preserve">Zastupitelé Havířova měli na zasedání ke schválení mnoho důležitých bodů. Ať už rozpočet na rok 2024, odkup životických sadů a jednalo se také o pozemcích bývalé ZŠ Mánesova, které opět budou patřit městu.</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2026-06-25T21:54:19+02:00</dcterms:created>
  <dcterms:modified xsi:type="dcterms:W3CDTF">2026-06-25T21:54:19+02:00</dcterms:modified>
</cp:coreProperties>
</file>

<file path=docProps/custom.xml><?xml version="1.0" encoding="utf-8"?>
<Properties xmlns="http://schemas.openxmlformats.org/officeDocument/2006/custom-properties" xmlns:vt="http://schemas.openxmlformats.org/officeDocument/2006/docPropsVTypes"/>
</file>