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má studii proveditelnosti modernizace</w:t>
      </w:r>
    </w:p>
    <w:p>
      <w:pPr/>
      <w:r>
        <w:rPr>
          <w:b w:val="1"/>
          <w:bCs w:val="1"/>
        </w:rPr>
        <w:t xml:space="preserve">Městská nemocnice Ostrava pokračuje v modernizaci, která je plánována na zhruba 10 let. Celou koncepci nyní schválilo i zastupitelstvo města. Prvním krokem bude výběr správce, který se bude podílet na řízení projektu a zároveň prostředníkem mezi nemocnicí a magistrátem.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rozjela nový projekt cílený na  kreativitu děti</w:t>
      </w:r>
    </w:p>
    <w:p>
      <w:pPr/>
      <w:r>
        <w:rPr>
          <w:b w:val="1"/>
          <w:bCs w:val="1"/>
        </w:rPr>
        <w:t xml:space="preserve">V Ostravě byl zahájen nový projet, který cílí na kreativitu dětí a zároveň jejich pedagogů. Je určen pro mateřské a základní školy, které postupně navštíví umělci, aby jim přímo při práci s dětmi ukázali, jak lze obohatit jejich výuku.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8-12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2026-05-25T13:59:37+02:00</dcterms:created>
  <dcterms:modified xsi:type="dcterms:W3CDTF">2026-05-25T13:59:37+02:00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