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br/>
      <w:b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r>
        <w:rPr/>
        <w:t xml:space="preserve">Krátké zprávy 20. 2. 2024 16.00 - 1</w:t>
      </w:r>
    </w:p>
    <w:p>
      <w:pPr/>
      <w:r>
        <w:rPr/>
        <w:t xml:space="preserve">V úterý mohli žáci 9. tříd podat přihlášky na střední školy naposledy. Letos poprvé to bylo  elektronicky a navíc vybírat si mohli ze tří škol.  </w:t>
      </w:r>
    </w:p>
    <w:p>
      <w:pPr/>
      <w:r>
        <w:rPr/>
        <w:t xml:space="preserve">Pondělní dvě dopravní nehody s tragickými následky.  V obou případech řidič auta narazil do stromu. V Orlové na místě zemřeli dva devatenáctiletí muži. V Novém Jičíně podlehl zraněním řidič středního věku.</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16.00 - 2</w:t>
      </w:r>
    </w:p>
    <w:p>
      <w:pPr/>
      <w:r>
        <w:rPr/>
        <w:t xml:space="preserve">Srážka osobního auta s tramvají zkomplikovala v úterý ráno dopravu v Martinovské ulici v Ostravě-Třebovicích. Na místě zasahovali hasiči, záchranáři i policisté.  V tramvaji cestovalo zhruba 35 osob, nikdo zraněn nebyl. Řidička, která nehodu způsobila, byla se zraněním předána zdravotníkům. Příčiny nehody se vyšetřují.</w:t>
      </w:r>
    </w:p>
    <w:p>
      <w:pPr/>
      <w:r>
        <w:rPr/>
        <w:t xml:space="preserve">Za obnovu druhé lokomotivy pro úzkokolejku z Třemešné do Osoblahy na Bruntálsku, zaplatí České dráhy několik milionů korun. Hotova bude  na jaře. Pokud vše půjde bez komplikací, bude lokomotiva na trati už před zahájením turistické sezony.</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2026-01-24T17:41:39+01:00</dcterms:created>
  <dcterms:modified xsi:type="dcterms:W3CDTF">2026-01-24T17:41:39+01:00</dcterms:modified>
</cp:coreProperties>
</file>

<file path=docProps/custom.xml><?xml version="1.0" encoding="utf-8"?>
<Properties xmlns="http://schemas.openxmlformats.org/officeDocument/2006/custom-properties" xmlns:vt="http://schemas.openxmlformats.org/officeDocument/2006/docPropsVTypes"/>
</file>