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Nezaměstnanost a perspektivy jejího řešení</w:t>
      </w:r>
    </w:p>
    <w:p>
      <w:pPr/>
      <w:r>
        <w:rPr>
          <w:b w:val="1"/>
          <w:bCs w:val="1"/>
        </w:rPr>
        <w:t xml:space="preserve">Nezaměstnanost v MS kraji v lednu vzrostla na 5,5 %. Zejména dva okresy regionu, Karviná a Bruntál, mají vůbec nejhorší poměr volných pracovních míst k počtu uchazečů  v celé  zemi. Na Bruntálsku je bez práce od 6 do 9 procent lidí.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2025-12-29T19:29:26+01:00</dcterms:created>
  <dcterms:modified xsi:type="dcterms:W3CDTF">2025-12-29T19:29:26+01:00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