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</w:t>
      </w:r>
      <w:br/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br/>
      <w:r>
        <w:rPr/>
        <w:t xml:space="preserve">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</w:t>
      </w:r>
      <w:br/>
    </w:p>
    <w:p>
      <w:pPr/>
      <w:r>
        <w:rPr/>
        <w:t xml:space="preserve">Další ročník kurzu tanečních sice skončil, sdružení ale bude v této aktivitě pro mladé i nadále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b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</w:t>
      </w:r>
      <w:br/>
      <w:br/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</w:t>
      </w:r>
      <w:br/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2026-01-24T03:41:50+01:00</dcterms:created>
  <dcterms:modified xsi:type="dcterms:W3CDTF">2026-01-24T03:41:50+01:00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