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Předvolební debata s politiky v klubu Art</w:t>
      </w:r>
    </w:p>
    <w:p>
      <w:pPr/>
      <w:r>
        <w:rPr>
          <w:b w:val="1"/>
          <w:bCs w:val="1"/>
        </w:rPr>
        <w:t xml:space="preserve">Opavské zastupitelstvo dětí a mládeže patří mezi nejstarší v Česku. Vzniklo už v roce 2002 a od té doby pravidelně pořádá předvolební debaty. Začalo komunálními, přes krajské a republikové a letos úplně poprvé i do Evropského parlamentu.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r>
        <w:rPr/>
        <w:t xml:space="preserve"> probíhají v rámci čtyř dní napříč celou . Ve většině zemí EU se chodí k volebním urnám v neděli. Česká republika je jedinou členskou zemí, kde volby probíhají ve dvou dnech. Uskuteční se 7. a 8. června.</w:t>
      </w:r>
    </w:p>
    <w:p>
      <w:pPr/>
      <w:r>
        <w:rPr/>
        <w:t xml:space="preserve">---</w:t>
      </w:r>
    </w:p>
    <w:p>
      <w:pPr/>
      <w:r>
        <w:rPr/>
        <w:t xml:space="preserve">Zprávy krátké, 13. 5. 2024 16.00 - 1</w:t>
      </w:r>
      <w:br/>
    </w:p>
    <w:p>
      <w:pP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  <w:br/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2026-01-22T22:35:19+01:00</dcterms:created>
  <dcterms:modified xsi:type="dcterms:W3CDTF">2026-01-22T22:35:19+01:00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