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byly vysazeny trvalkové záhony</w:t>
      </w:r>
    </w:p>
    <w:p>
      <w:pPr/>
      <w:r>
        <w:rPr>
          <w:b w:val="1"/>
          <w:bCs w:val="1"/>
        </w:rPr>
        <w:t xml:space="preserve">Centrální ostravský obvod revitalizuje také Husův sad. Aktuálně tam byly vysazeny nové trvalkové záhony a chystá se také realizace nového hřiště.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6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2026-05-08T04:49:56+02:00</dcterms:created>
  <dcterms:modified xsi:type="dcterms:W3CDTF">2026-05-08T04:49:56+02:00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