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b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17.00 -1</w:t>
      </w:r>
      <w:br/>
      <w:r>
        <w:rPr/>
        <w:t xml:space="preserve">Zastupitelstvo Ostravy se napříč politickým spektrem shodlo, že Baník potřebuje nový fotbalový stadion na Bazalech. Schválili memorandum, které deklaruje další konkrétní kroky k přípravě projektu. Stavba by měla být zahájena za 3 roky.</w:t>
      </w:r>
    </w:p>
    <w:p>
      <w:pPr/>
      <w:r>
        <w:rPr>
          <w:b w:val="1"/>
          <w:bCs w:val="1"/>
          <w:i w:val="1"/>
          <w:iCs w:val="1"/>
        </w:rPr>
        <w:t xml:space="preserve">Václav Vrabec, majitel klubu FC Baník Ostrava:</w:t>
      </w:r>
      <w:r>
        <w:rPr>
          <w:i w:val="1"/>
          <w:iCs w:val="1"/>
        </w:rPr>
        <w:t xml:space="preserve"> "Mě to potěšilo. V mém životě jsou sice zásadnější věci, ale myšlenka, že by se Baník vrátil domů na Bazaly, je na prvním místě." </w:t>
      </w:r>
    </w:p>
    <w:p>
      <w:pPr/>
      <w:r>
        <w:rPr>
          <w:i w:val="1"/>
          <w:iCs w:val="1"/>
        </w:rPr>
        <w:t xml:space="preserve">---</w:t>
      </w:r>
      <w:b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r>
        <w:rPr/>
        <w:t xml:space="preserve">Zprávy krátké, 4. 7. 2024 17.00 - 2</w:t>
      </w:r>
      <w:br/>
      <w:r>
        <w:rPr/>
        <w:t xml:space="preserve">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w:t>
      </w:r>
      <w:b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w:t>
      </w:r>
      <w:b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w:t>
      </w:r>
      <w:b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w:t>
      </w:r>
      <w:b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2026-01-20T14:27:43+01:00</dcterms:created>
  <dcterms:modified xsi:type="dcterms:W3CDTF">2026-01-20T14:27:43+01:00</dcterms:modified>
</cp:coreProperties>
</file>

<file path=docProps/custom.xml><?xml version="1.0" encoding="utf-8"?>
<Properties xmlns="http://schemas.openxmlformats.org/officeDocument/2006/custom-properties" xmlns:vt="http://schemas.openxmlformats.org/officeDocument/2006/docPropsVTypes"/>
</file>