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vyřešila problém s dešťovou vodou v Budulínku</w:t>
      </w:r>
    </w:p>
    <w:p>
      <w:pPr/>
      <w:r>
        <w:rPr>
          <w:b w:val="1"/>
          <w:bCs w:val="1"/>
        </w:rPr>
        <w:t xml:space="preserve">Radnice v Horní Suché postupně investuje do obecního domu, kde sídlí Rodinné centrum Budulínek. Nyní bylo potřeba vyřešit problém s odvodem dešťové vody.</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2026-02-23T05:59:35+01:00</dcterms:created>
  <dcterms:modified xsi:type="dcterms:W3CDTF">2026-02-23T05:59:35+01:00</dcterms:modified>
</cp:coreProperties>
</file>

<file path=docProps/custom.xml><?xml version="1.0" encoding="utf-8"?>
<Properties xmlns="http://schemas.openxmlformats.org/officeDocument/2006/custom-properties" xmlns:vt="http://schemas.openxmlformats.org/officeDocument/2006/docPropsVTypes"/>
</file>