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vybojovaly v soutěži Vesnice roku 2. místo</w:t>
      </w:r>
    </w:p>
    <w:p>
      <w:pPr/>
      <w:r>
        <w:rPr>
          <w:b w:val="1"/>
          <w:bCs w:val="1"/>
        </w:rPr>
        <w:t xml:space="preserve">V letošním národním finále soutěže Vesnice roku měl Moravskoslezský kraj jako svého finalistu obec Palkovice. Ta nakonec v silné konkurenci obsadila 2. místo.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2026-02-21T16:10:28+01:00</dcterms:created>
  <dcterms:modified xsi:type="dcterms:W3CDTF">2026-02-21T16:10:28+01:00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