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křtili další Diář podnikatele</w:t>
      </w:r>
    </w:p>
    <w:p>
      <w:pPr/>
      <w:r>
        <w:rPr>
          <w:b w:val="1"/>
          <w:bCs w:val="1"/>
        </w:rPr>
        <w:t xml:space="preserve">V Kulturním centru ve Frýdlantě nad Ostravicí se konalo závěrečné setkání účastníků letošního běhu Akademie podnikatelů. Vyvrcholením bylo představení kalendáře a křest podnikatelského diáře.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2026-02-21T06:22:33+01:00</dcterms:created>
  <dcterms:modified xsi:type="dcterms:W3CDTF">2026-02-21T06:22:33+01:00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