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17.00 - 1</w:t>
      </w:r>
    </w:p>
    <w:p>
      <w:pPr/>
      <w:r>
        <w:rPr/>
        <w:t xml:space="preserve">20 TIS. KČ PRO MEDICU</w:t>
      </w:r>
    </w:p>
    <w:p>
      <w:pPr/>
      <w:r>
        <w:rPr/>
        <w:t xml:space="preserve">MEDICA Třinec získala finanční dar 20 tisíc korun od Nadačního fondu Umění doprovázet na nákup léků tišících bolest pro těžce nemocné pacienty. Fond podporuje hospice a paliativní péči v ČR již 18 let. Ředitelka hospice Andrea Szymeczek zdůraznila, že cílem je zajistit, aby pacienti netrpěli bolestmi a dalšími symptomy spojenými s terminální fází onemocnění.  </w:t>
      </w:r>
    </w:p>
    <w:p>
      <w:pPr/>
      <w:r>
        <w:rPr/>
        <w:t xml:space="preserve">VÍTKOVICKÉ SLÉVÁRNY UKONČILY REORGANIZACI</w:t>
      </w:r>
    </w:p>
    <w:p>
      <w:pPr/>
      <w:r>
        <w:rPr/>
        <w:t xml:space="preserve">Ostravská společnost Vítkovické slévárny požádala soud o ukončení své reorganizace. Firma splnila reorganizační plán, vyplatila věřitele a získala nového majitele díky českému investorovi. O vývoji informovala mediální zástupkyně Jana Dronská.</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r>
        <w:rPr/>
        <w:t xml:space="preserve">Krátké zprávy 2. 12. 2024 17.00 - 2</w:t>
      </w:r>
    </w:p>
    <w:p>
      <w:pPr/>
      <w:r>
        <w:rPr/>
        <w:t xml:space="preserve">NOVÁ PRAVIDLA VYHLAŠOVÁNÍ OSOBNOSTÍ V NJ</w:t>
      </w:r>
    </w:p>
    <w:p>
      <w:pPr/>
      <w:r>
        <w:rPr/>
        <w:t xml:space="preserve">Nový Jičín zavedl nová pravidla pro vyhlašování osobností města, včetně tří nových kategorií: podnikatel roku, výjimečný počin a osobnost starosty města. Nominace mohou nově podávat i občané prostřednictvím formulářů na webu města. Cílem změn je zvýšit prestiž ocenění a vytvořit galerii osobností, které významně přispěly k rozvoji města.</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2026-01-01T07:01:14+01:00</dcterms:created>
  <dcterms:modified xsi:type="dcterms:W3CDTF">2026-01-01T07:01:14+01:00</dcterms:modified>
</cp:coreProperties>
</file>

<file path=docProps/custom.xml><?xml version="1.0" encoding="utf-8"?>
<Properties xmlns="http://schemas.openxmlformats.org/officeDocument/2006/custom-properties" xmlns:vt="http://schemas.openxmlformats.org/officeDocument/2006/docPropsVTypes"/>
</file>