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>
        <w:pStyle w:val="Heading1"/>
      </w:pPr>
      <w:r>
        <w:rPr>
          <w:sz w:val="36"/>
          <w:szCs w:val="36"/>
        </w:rPr>
        <w:t xml:space="preserve">Hrad Sovinec patřil novoročním procházkám</w:t>
      </w:r>
    </w:p>
    <w:p>
      <w:pPr/>
    </w:p>
    <w:p>
      <w:pPr/>
      <w:r>
        <w:rPr/>
        <w:t xml:space="preserve">Hrad Sovinec se první lednovou sobotu mimořádně otevřel návštěvníkům. Připraveny tady byly novoroční procházky zasněženým hradem a také komentované prohlídky s průvodci v dobových kostýmech.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ní mohli lidé plnit vědomostní kvíz.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</w:t>
      </w:r>
      <w:br/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umělců s hendikepem v GVUO</w:t>
      </w:r>
    </w:p>
    <w:p>
      <w:pPr/>
      <w:r>
        <w:rPr>
          <w:b w:val="1"/>
          <w:bCs w:val="1"/>
        </w:rPr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2026-02-19T22:51:47+01:00</dcterms:created>
  <dcterms:modified xsi:type="dcterms:W3CDTF">2026-02-19T22:51:47+01:00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