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Největšími investicemi roku 2025 jsou čistička a vodovod</w:t>
      </w:r>
    </w:p>
    <w:p>
      <w:pPr/>
      <w:r>
        <w:rPr>
          <w:b w:val="1"/>
          <w:bCs w:val="1"/>
        </w:rPr>
        <w:t xml:space="preserve">Čeladná má na rok 2025 opět vyrovnaný rozpočet. Na straně příjmů i výdajů je 133 milionů korun. Zastupitelé jej schválili jednohlasně.</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2026-02-22T07:39:51+01:00</dcterms:created>
  <dcterms:modified xsi:type="dcterms:W3CDTF">2026-02-22T07:39:51+01:00</dcterms:modified>
</cp:coreProperties>
</file>

<file path=docProps/custom.xml><?xml version="1.0" encoding="utf-8"?>
<Properties xmlns="http://schemas.openxmlformats.org/officeDocument/2006/custom-properties" xmlns:vt="http://schemas.openxmlformats.org/officeDocument/2006/docPropsVTypes"/>
</file>