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Point nabízí služby a pomoc seniorům</w:t>
      </w:r>
    </w:p>
    <w:p>
      <w:pPr/>
      <w:r>
        <w:rPr>
          <w:b w:val="1"/>
          <w:bCs w:val="1"/>
        </w:rPr>
        <w:t xml:space="preserve">Senior Point je místem, kde mohou senioři získat řadu informací nebo využít sociální služby. Město ho každoročně finančně podporuje a pravidelně ho navštěvují stovky lidí.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Vícepráce prodlouží uzavření vstupu do NJ úřední budovy</w:t>
      </w:r>
    </w:p>
    <w:p>
      <w:pPr/>
      <w:r>
        <w:rPr>
          <w:b w:val="1"/>
          <w:bCs w:val="1"/>
        </w:rPr>
        <w:t xml:space="preserve">Oprava vstupu do budovy městského úřadu v Novém Jičíně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2025-12-26T00:17:30+01:00</dcterms:created>
  <dcterms:modified xsi:type="dcterms:W3CDTF">2025-12-26T00:17:30+01:00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