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zaparkováno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Neziskovky stále pomáhají zatopeným domácnostem</w:t>
      </w:r>
    </w:p>
    <w:p>
      <w:pPr/>
      <w:r>
        <w:rPr>
          <w:b w:val="1"/>
          <w:bCs w:val="1"/>
        </w:rPr>
        <w:t xml:space="preserve">Neziskové organizace stále pomáhají lidem zasaženým loňskými zářijovými povodněmi. A to jak psychicky, tak fyzicky a také finančně. Mnohé z nich totiž stále ještě nemají vysušené své domovy ani základní úpravy jako jsou oklepané omítky.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Vytrvalec Tarča motivoval studenty ke splnění cílů</w:t>
      </w:r>
    </w:p>
    <w:p>
      <w:pPr/>
      <w:r>
        <w:rPr>
          <w:b w:val="1"/>
          <w:bCs w:val="1"/>
        </w:rPr>
        <w:t xml:space="preserve">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2025-12-25T17:33:17+01:00</dcterms:created>
  <dcterms:modified xsi:type="dcterms:W3CDTF">2025-12-25T17:33:17+01:00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