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Ekomagazínu na Polaru, jsme rádi, že se díváte. 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>
          <w:b w:val="1"/>
          <w:bCs w:val="1"/>
        </w:rPr>
        <w:t xml:space="preserve">Vlci byli přeřazeni do nižšího ochranného statusu</w:t>
      </w:r>
    </w:p>
    <w:p>
      <w:pPr/>
      <w:r>
        <w:rPr/>
        <w:t xml:space="preserve">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/>
        <w:t xml:space="preserve">Snazší lov a větší rizika pro vlčí populaci. To znamená přeřazení vlků do nižšího ochranného statusu - rozhodnutí členských států Stálého výboru Bernské úmluvy. Právě proti němu se nyní ohrazují evropské organizace v rámci kampaně European Action Wolves. Mezi nimi i české Hnutí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„Argument je ten, že by to mělo snížit konflikt, ale my to vnímáme tak, že to ten konflikt právě zvýší, protože se pro jednotlivé země může usnadnit lov vlka a na druhou stranu to také může ohrozit finanční kompenzace farmářů proti škodám, které může ten vlk způsobit.“</w:t>
      </w:r>
    </w:p>
    <w:p>
      <w:pPr/>
      <w:r>
        <w:rPr/>
        <w:t xml:space="preserve">Kritizována je vědecká nepodloženost rozhodnutí i samotný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„</w:t>
      </w:r>
      <w:r>
        <w:rPr>
          <w:i w:val="1"/>
          <w:iCs w:val="1"/>
        </w:rPr>
        <w:t xml:space="preserve">Rozhodnutí o snížení ochrany vlka bylo čistě politické a ignorovalo dostupné vědecké studie, dokonce i ty, které si nechala zpracovat sama Evropská komise nebo Evropský parlament. Pokud chceme pomoci soužití mezi vlky a lidmi, musíme se zabývat detailně příčinami problémů a při rozhodování se opírat o fakta nikoli o to, co si zrovna myslí někteří chovatelé.“</w:t>
      </w:r>
    </w:p>
    <w:p>
      <w:pPr/>
      <w:r>
        <w:rPr/>
        <w:t xml:space="preserve">Vlčí populace v Česku v posledních letech narůstá, protože mají dostatek potravy. V lesích je totiž dlouhodobě přemnožená spárkatá zvěř. Aktuálně se podle hrubých odhadů Agentury ochrany přírody a krajiny na našem území pohybuje zhruba 300 vlků ve 30 až 40 smečkách.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>
          <w:i w:val="1"/>
          <w:iCs w:val="1"/>
        </w:rPr>
        <w:t xml:space="preserve"> „Co se týče ochrany vlka u nás, tak směrodatný je postoj Ministerstva životního prostředí, aby jeho kroky vedly k zajištění příznivého stavu populace a nepodlehlo tlakům, které chtějí obnovující se populaci potlačit.“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„Teď se v EU vlastně řeší změna směrnice o stanovištích, která  by měla navazovat na to snížení, také o úroveň níž.</w:t>
      </w:r>
    </w:p>
    <w:p>
      <w:pPr/>
      <w:r>
        <w:rPr/>
        <w:t xml:space="preserve">Návrh Komise má členským státům poskytnout větší flexibilitu při řízení jejich místních populací vlků, aby mohly přijímat opatření, která jsou dobře přizpůsobena regionálním podmínkám.</w:t>
      </w:r>
    </w:p>
    <w:p>
      <w:pPr/>
      <w:r>
        <w:rPr>
          <w:b w:val="1"/>
          <w:bCs w:val="1"/>
        </w:rPr>
        <w:t xml:space="preserve">Protipovodňová opatření na řece Opavě v Branticích</w:t>
      </w:r>
    </w:p>
    <w:p>
      <w:pPr/>
      <w:r>
        <w:rPr/>
        <w:t xml:space="preserve">Povodí Odry představilo lidem plánovaná protipovodňová opatření na řece Opavě v Branticích. S jejich realizací by se mělo začít v roce 2027. Počítá se mimo jiné s rozšířením koryta řeky, výstavbou ochranných hrází a betonových stěn.</w:t>
      </w:r>
    </w:p>
    <w:p>
      <w:pPr/>
      <w:r>
        <w:rPr>
          <w:b w:val="1"/>
          <w:bCs w:val="1"/>
          <w:i w:val="1"/>
          <w:iCs w:val="1"/>
        </w:rPr>
        <w:t xml:space="preserve">Petr Birklen, generální ředitel Povodí Odry: </w:t>
      </w:r>
      <w:r>
        <w:rPr>
          <w:i w:val="1"/>
          <w:iCs w:val="1"/>
        </w:rPr>
        <w:t xml:space="preserve">“Jsme připraveni, pokud by to byla nějaká zásadní změna v těch parametrech, tak upravíme ta protipovodňová opatření. Ta opatření se vážou na realizaci přehradní nádrže, to znamená, že ta jejich plná funkčnost závisí na tom, že bude stát i přehrada Nové Heřminovy."</w:t>
      </w:r>
    </w:p>
    <w:p>
      <w:pPr/>
      <w:r>
        <w:rPr/>
        <w:t xml:space="preserve">Loňská zářijová povodeň v Branticích zatopila na 350 domů, tedy až 90 procent obce. Protipovodňová opatření se tady plánují už od roku 1912 a stále žádná nejsou. Aktuální návrhy pracují s daty z povodní v roce 97. Data z těch loňských zatím nejsou známa.</w:t>
      </w:r>
    </w:p>
    <w:p>
      <w:pPr/>
      <w:r>
        <w:rPr>
          <w:b w:val="1"/>
          <w:bCs w:val="1"/>
        </w:rPr>
        <w:t xml:space="preserve">Zákaz pálení biologického odpadu</w:t>
      </w:r>
    </w:p>
    <w:p>
      <w:pPr/>
      <w:r>
        <w:rPr/>
        <w:t xml:space="preserve">Od března začala platit novela zákona o ochraně ovzduší, která zakazuje pálení biologického odpadu jako je tráva nebo listí. Výjimku má například opékání buřtů na suchém dřevě. Je třeba ale dodržet některá pravidla.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 kraje: </w:t>
      </w:r>
      <w:r>
        <w:rPr>
          <w:i w:val="1"/>
          <w:iCs w:val="1"/>
        </w:rPr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>
          <w:b w:val="1"/>
          <w:bCs w:val="1"/>
        </w:rPr>
        <w:t xml:space="preserve">Pavel Staněk (SPD), člen rady kraje: MS kraj žádá miliony na obnovu po povodních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ničivých zářijových povodní uplynulo už několik měsíců a kraj má za sebou první důležité kroky směrem k obnově. Jak rozsáhlé škody se podařilo zmapovat? Kolik peněz bude potřeba a jak rychle se daří získávat státní pomoc? I o tom dnes budeme mluvit s krajským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Zkusme na začátek říct, jak rozsáhlé jsou škody tady u nás v Moravskoslezském kraji a jaký je odhad nákladů na jejich likvidaci?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 Moravskoslezském kraji bylo z celkových 300 obcí povodní zasaženo 276 a z toho 33 obcí bylo zaplaveno tak významně, že některé lokality byly i několik dní odříznuty od základních služeb. K těm významně zaplaveným oblastem musíme započítat i větší města, tak jako byl Krnov, Opava, Bohumín a některé části Ostravy, zejména Svinov a Novou Ves. V Moravskoslezském kraji je odhad těch nákladů, škod v podstatě téměř 39 miliard korun, z čehož 7,5 miliard jsou škody na majetku obcí a 2,5 miliardy jsou škody na majetku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dotace může kraj získat na obnovu povodní poničených ať už staveb nebo čehokoliv, co bude třeba.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z těch dotačních programů, které vypisuje Ministerstvo pro místní rozvoj. Jsou to programy konkrétně Živel I, Živel III a Živel IV. Živel II, ten je pro obce, kde nebyl vyhlášen stav nebezpečí, což toto jsou obce, které nejsou v Moravskoslezském kraji. Tyto programy jsou vyhlášeny pro region a obce s rozšířenou působností Frýdlant v Libereckém kraji. Dále pro Olomoucký kraj a pro náš kraj Moravskoslezský. Ten program Živel, z něhož jsou čerpány finanční prostředky na obnovu jak infrastruktury, tak majetku kraje. A za ten půlrok Moravskoslezský kraj podal 124 žádostí a obce dalších 18 v celkově zatím hodnotě tři miliardy korun. Živel III Tak tento program je zaměřen na obnovu obydlí fyzických obyvatel a tam je alokace 3,5 miliardy korun. A program Živel IV, tak ten je zaměřen na zajištění dočasné a provozování klíčové infrastruktury, tak jako bylo náhradní ubytování obyvatel nebo předškolní a školní vzdělávání.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náročné získat dotační peníze na obnovu? Myslím teď po té administrativní stránce.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po administrativní stránce. Co se týče Moravskoslezského kraje, tak ať už je to odbor evropských projektů, který administruje žádosti, které kraj podával k nárokům na evropské i národní zdroje, zejména v rámci programu Živel I., a pak je to odbor regionálního rozvoje, který pomáhal obcím s vyřízením a administrací těch dotací. Takže si myslím, že ten problém nebyl nijak zvlášť výrazný.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další finanční zdroje kromě již zmíněných dotací může kraj využít pro obnovu povodněmi postižených oblastí?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Další dotační programy vyhlašovala ministerstva, jako například Ministerstvo životního prostředí, kde se jednalo o programy na povodňovou ochranu, obnovu infrastruktury spojenou s životním prostředím, tedy vodovody, kanalizace, výstražné systémy proti povodním a jiné. Národní rozvojová banka se zaměřila spíše na pomoc soukromým subjektům, a to formou zvýhodněných úvěrů. Ministerstvo práce a sociálních věcí poskytovalo okamžitou finanční pomoc postiženým občanům. Ministerstvo obrany zajišťovalo přístup ke svým objektům v rámci obrany státu. Tady to využívala Armáda České republiky, a Ministerstvo zemědělství vypsalo dotační program a podporovalo opravy škod na vodních dílech (pro správce toků) a v lesích (pro správce lesů). Národní sportovní agentura také vypsala dotační program na obnovu sportovní infrastruktury po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Poprosím o krátkou odpověď. Myslíte si, že ta pomoc ze státu byla dostatečná, nebo se dalo udělat více?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myslím si, že momentálně byla dostatečná, neboť ať už je to alokace v tom programu Živel I, kde bylo alokováno 5 miliard korun, tak je přislíbeno, že v případě potřeby ta částka bude navýšena.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pane Staňku za Vaše odpovědi. Vám děkuji za pozornost. Uvidíme se u dalšího tématu, dnešní Eko magazín končí.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2026-02-20T14:05:08+01:00</dcterms:created>
  <dcterms:modified xsi:type="dcterms:W3CDTF">2026-02-20T14:05:08+01:00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