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Městský dopravní podnik v Opavě oslavil 120 let</w:t>
      </w:r>
    </w:p>
    <w:p>
      <w:pPr/>
      <w:r>
        <w:rPr>
          <w:b w:val="1"/>
          <w:bCs w:val="1"/>
        </w:rPr>
        <w:t xml:space="preserve">Městský dopravní podnik Opava oslavil 120 let od svého založení. Při této příležitosti uspořádal spanilou jízdu vozidel a Den otevřených dveří pro širokou veřejnost s pestrým doprovodným programem.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Zemský archiv v Opavě se otevřel lidem</w:t>
      </w:r>
    </w:p>
    <w:p>
      <w:pPr/>
      <w:r>
        <w:rPr>
          <w:b w:val="1"/>
          <w:bCs w:val="1"/>
        </w:rPr>
        <w:t xml:space="preserve">Zemský archiv v Opavě zpřístupnil lidem své prostory. A to v rámci Mezinárodního dne archivů. Po dva dny mohli navštívit tématickou výstavu a také absolvovat komentované prohlídky budovy.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1-06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2026-05-13T18:28:30+02:00</dcterms:created>
  <dcterms:modified xsi:type="dcterms:W3CDTF">2026-05-13T18:28:30+02:00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