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Máří Magdalénská pouť ve Stonavě se blíží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19. a 20. července, nabídnou pestrý program plný tradice, hudby, soutěží, zábavy i duchovního rozměru.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2024/2025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XV Memoriał Posła Karola Jungi</w:t>
      </w:r>
    </w:p>
    <w:p>
      <w:pPr/>
      <w:r>
        <w:rPr>
          <w:b w:val="1"/>
          <w:bCs w:val="1"/>
        </w:rPr>
        <w:t xml:space="preserve">Od dziesięciu lat mecze Memoriału Posła Karola Jungi odbywają się w Stonawie. Pierwsze pięć edycji rozegrano na Jungówce – boisku w Żukowie, utworzonym na dawnych posiadłościach posła Jungi.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2026-04-22T17:52:01+02:00</dcterms:created>
  <dcterms:modified xsi:type="dcterms:W3CDTF">2026-04-22T17:52:01+02:00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