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V NOVÉM JIČÍNĚ VZNIKÁ PUMPTRACK ZA 9,5 MILIONU</w:t>
      </w:r>
    </w:p>
    <w:p>
      <w:pPr/>
      <w:r>
        <w:rPr/>
        <w:t xml:space="preserve">Na místě bývalého Horního nádraží v Novém Jičíně roste nové sportoviště pro cyklisty a koloběžkáře. Pumptrack by měl být hotový do pěti měsíců a přijde město na 9,5 milionu korun. Cílem je oživit nevyužívaný areál a nabídnout aktivní vyžití pro veřejnost.</w:t>
      </w:r>
    </w:p>
    <w:p>
      <w:pPr/>
      <w:r>
        <w:rPr/>
        <w:t xml:space="preserve">OSTRAVA CHCE ODMĚNIT DOBROVOLNÉ HASIČE</w:t>
      </w:r>
    </w:p>
    <w:p>
      <w:pPr/>
      <w:r>
        <w:rPr/>
        <w:t xml:space="preserve">Město Ostrava podalo žádost o dotaci na mimořádné odměny pro dobrovolné hasiče, kteří pomáhali při záplavách v září 2024. Chce tak ocenit jejich nasazení a reaguje na výzvu ministerstva vnitra. Odměny by měly motivovat a podpořit hasiče.</w:t>
      </w:r>
    </w:p>
    <w:p>
      <w:pPr/>
      <w:r>
        <w:rPr/>
        <w:t xml:space="preserve">---</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r>
        <w:rPr/>
        <w:t xml:space="preserve">PUŠTÍCI Z OSTRAVSKÉ ZOO MÍŘÍ DO RAKOUSKA</w:t>
      </w:r>
    </w:p>
    <w:p>
      <w:pPr/>
      <w:r>
        <w:rPr/>
        <w:t xml:space="preserve">Zoo Ostrava odvezla do Rakouska rekordních sedm mláďat puštíka bělavého, všechna budou vypuštěna do přírody v rámci mezinárodního záchranného projektu. Jedná se o historicky nejvyšší počet mláďat z jedné snůšky i největší skupinu poskytnutou k reintrodukci. Projekt dosud navrátil do přírody přes 540 sov.</w:t>
      </w:r>
    </w:p>
    <w:p>
      <w:pPr/>
      <w:r>
        <w:rPr/>
        <w:t xml:space="preserve">KARVINSKÁ POLIKLINIKA SE PLNÍ NOVÝMI SLUŽBAMI</w:t>
      </w:r>
    </w:p>
    <w:p>
      <w:pPr/>
      <w:r>
        <w:rPr/>
        <w:t xml:space="preserve">Poliklinika v Karviné-Mizerově prochází modernizací a úspěšně přitahuje nové lékaře i služby, včetně masáží kojenců, kurzů pro těhotné nebo homeopatie. Město investuje do oprav i rozšíření ambulancí, vzniknout mají také psychologické ordinace. Cílem je nabídnout Karviňanům širokou škálu zdravotní péče pod jednou střechou.</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