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Nový strategický plán města bude navazovat na končící</w:t>
      </w:r>
    </w:p>
    <w:p>
      <w:pPr/>
      <w:r>
        <w:rPr>
          <w:b w:val="1"/>
          <w:bCs w:val="1"/>
        </w:rPr>
        <w:t xml:space="preserve">Město Bruntál přialo strategický plán rozvoje, jehož platnost končí právě v letošním roce. Vedení města v spolupráci se zhotovitelskou společností KPMG proto uspořádalo setkání s veřejností pro získání námětů pro nový strategický plán od roku 2026.</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0-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2026-07-03T04:29:27+02:00</dcterms:created>
  <dcterms:modified xsi:type="dcterms:W3CDTF">2026-07-03T04:29:27+02:00</dcterms:modified>
</cp:coreProperties>
</file>

<file path=docProps/custom.xml><?xml version="1.0" encoding="utf-8"?>
<Properties xmlns="http://schemas.openxmlformats.org/officeDocument/2006/custom-properties" xmlns:vt="http://schemas.openxmlformats.org/officeDocument/2006/docPropsVTypes"/>
</file>