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požadavky hasičů stojí Horní Suchou velké peníze</w:t>
      </w:r>
    </w:p>
    <w:p>
      <w:pPr/>
      <w:r>
        <w:rPr>
          <w:b w:val="1"/>
          <w:bCs w:val="1"/>
        </w:rPr>
        <w:t xml:space="preserve">Radnice v Horní Suché musí kvůli bezpečnosti investovat do budovy domova seniorů. Kontrola ukázala, že při požáru by nestačilo odvětrávání. Obec zároveň vybuduje nová parkovací místa u areálu.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planetárium funguje už 45 let</w:t>
      </w:r>
    </w:p>
    <w:p>
      <w:pPr/>
      <w:r>
        <w:rPr>
          <w:b w:val="1"/>
          <w:bCs w:val="1"/>
        </w:rPr>
        <w:t xml:space="preserve">Ostravské planetárium slaví významné jubileum – už 45 let přibližuje návštěvníkům tajemství vesmíru. Za tu dobu prošlo modernizací, rozšířilo své expozice a stalo se oblíbeným místem nejen pro milovníky astronomie, ale i pro celé rodiny.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2026-03-02T07:17:54+01:00</dcterms:created>
  <dcterms:modified xsi:type="dcterms:W3CDTF">2026-03-02T07:17:54+01:00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