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 Vlastně v tom týdnu, co jsou tady přiděleni, tak nedělají silně odborné věci, dělají takové ty pomocné, ale mohou se podívat pod ruce samozřejmě našim klukům, kteří dělají odbornější práci."</w:t>
      </w:r>
    </w:p>
    <w:p>
      <w:pPr/>
      <w:r>
        <w:rPr/>
        <w:t xml:space="preserve">Protože si veřejnost, ale i odborníci, práce budoucích řemeslníků velice váží, snaží se karvinská Střední škola techniky a služeb aktivně zapojit právě studenty učebních oborů. </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2026-03-02T05:51:21+01:00</dcterms:created>
  <dcterms:modified xsi:type="dcterms:W3CDTF">2026-03-02T05:51:21+01:00</dcterms:modified>
</cp:coreProperties>
</file>

<file path=docProps/custom.xml><?xml version="1.0" encoding="utf-8"?>
<Properties xmlns="http://schemas.openxmlformats.org/officeDocument/2006/custom-properties" xmlns:vt="http://schemas.openxmlformats.org/officeDocument/2006/docPropsVTypes"/>
</file>