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Ostrava-Jih bude v roce 2026 hospodařit s 1,94 mld. kč</w:t>
      </w:r>
    </w:p>
    <w:p>
      <w:pPr/>
      <w:r>
        <w:rPr>
          <w:b w:val="1"/>
          <w:bCs w:val="1"/>
        </w:rPr>
        <w:t xml:space="preserve">Městský obvod Ostrava-Jih bude v příštím roce hospodařit s rekordním rozpočtem ve výši 1,94 miliardy korun. Rozpočet je vyrovnaný, stabilní a umožňuje pokračovat ve strategických investicích i v poskytování služeb obyvatelům.</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2026-02-19T17:44:37+01:00</dcterms:created>
  <dcterms:modified xsi:type="dcterms:W3CDTF">2026-02-19T17:44:37+01:00</dcterms:modified>
</cp:coreProperties>
</file>

<file path=docProps/custom.xml><?xml version="1.0" encoding="utf-8"?>
<Properties xmlns="http://schemas.openxmlformats.org/officeDocument/2006/custom-properties" xmlns:vt="http://schemas.openxmlformats.org/officeDocument/2006/docPropsVTypes"/>
</file>