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w:t>
      </w:r>
      <w:br/>
    </w:p>
    <w:p>
      <w:pPr/>
      <w:r>
        <w:rPr/>
        <w:t xml:space="preserve">POKUS O VRAŽDU V BARU V KARVINÉ</w:t>
      </w:r>
    </w:p>
    <w:p>
      <w:pPr/>
      <w:r>
        <w:rPr/>
        <w:t xml:space="preserve">Kriminalisté řeší první letošní případ pokusu vraždy v Moravskoslezském kraji. 35letý muž pobodal nožem v baru v Karviné-Ráji partnera své bývalé přítelkyně. Zraněného se podařilo stabilizovat a skončil v péči zdravotníků, útočníka zadrželi policisté přímo na místě. Už je ve vazbě a za pokus o vraždu mu hrozí až 20 let vězení.</w:t>
      </w:r>
    </w:p>
    <w:p>
      <w:pPr/>
      <w:r>
        <w:rPr/>
        <w:t xml:space="preserve">CHIRURGŮM V OPAVĚ POMÁHÁ MODERNÍ SCANNER</w:t>
      </w:r>
    </w:p>
    <w:p>
      <w:pPr/>
      <w:r>
        <w:rPr/>
        <w:t xml:space="preserve">Slezská nemocnice v Opavě využívá při operacích novou špičkovou technologii, která chirurgům pomáhá přímo na operačním sále. Histolog scanner umožňuje během několika minut ověřit, zda byl nádor bezpečně odstraněn. Novinka zvyšuje přesnost zákroků, snižuje riziko opakovaných operací a přináší výrazný přínos zejména pacientkám s karcinomem prsu.</w:t>
      </w:r>
      <w:b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p>
    <w:p>
      <w:pPr/>
      <w:r>
        <w:rPr>
          <w:b w:val="1"/>
          <w:bCs w:val="1"/>
        </w:rPr>
        <w:t xml:space="preserve">Petr Kuchta, ředitel Domova pro seniory:</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w:t>
      </w:r>
      <w:b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p>
    <w:p>
      <w:pP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r>
        <w:rPr>
          <w:i w:val="1"/>
          <w:iCs w:val="1"/>
        </w:rPr>
        <w:t xml:space="preserve">---</w:t>
      </w:r>
      <w:b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2026-02-22T13:35:47+01:00</dcterms:created>
  <dcterms:modified xsi:type="dcterms:W3CDTF">2026-02-22T13:35:47+01:00</dcterms:modified>
</cp:coreProperties>
</file>

<file path=docProps/custom.xml><?xml version="1.0" encoding="utf-8"?>
<Properties xmlns="http://schemas.openxmlformats.org/officeDocument/2006/custom-properties" xmlns:vt="http://schemas.openxmlformats.org/officeDocument/2006/docPropsVTypes"/>
</file>