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r>
        <w:rPr/>
        <w:t xml:space="preserve"> ---</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