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Participativní rozpočet podpoří jeden ze dvou projektů</w:t>
      </w:r>
    </w:p>
    <w:p>
      <w:pPr/>
      <w:r>
        <w:rPr>
          <w:b w:val="1"/>
          <w:bCs w:val="1"/>
        </w:rPr>
        <w:t xml:space="preserve">Vytvoření dřevěného betléma nebo stavby dětských hřišť podpořil v minulosti v Bílovci participativní rozpočet. Ve městě funguje od roku 2020 a občanům tak dává možnost podílet se na místním rozvoji. Letos podali pět návrhů.</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ilovecky-miniexpres/bilovecky-miniexpres-14-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2026-04-20T17:07:11+02:00</dcterms:created>
  <dcterms:modified xsi:type="dcterms:W3CDTF">2026-04-20T17:07:11+02:00</dcterms:modified>
</cp:coreProperties>
</file>

<file path=docProps/custom.xml><?xml version="1.0" encoding="utf-8"?>
<Properties xmlns="http://schemas.openxmlformats.org/officeDocument/2006/custom-properties" xmlns:vt="http://schemas.openxmlformats.org/officeDocument/2006/docPropsVTypes"/>
</file>