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Museli jsme měnit jak podlahy, tak jsme museli dělat izolace. Museli jsme měnit hygienické zázemí. A vše tohle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t xml:space="preserve">---</w:t>
      </w:r>
    </w:p>
    <w:p>
      <w:pPr/>
      <w:r>
        <w:rPr/>
        <w:t xml:space="preserve">OPAVA NABÍDNE OBĚTEM POVODNÍ POZEMKY</w:t>
      </w:r>
    </w:p>
    <w:p>
      <w:pPr/>
      <w:r>
        <w:rPr/>
        <w:t xml:space="preserve">Opava nabídne obětem povodní z roku 2024 nové místo pro bydlení. Město získalo od státu sedm stavebních parcel v nezasažených lokalitách, které poskytne lidem, kterým voda domy kompletně zničila. Podmínkou je, aby na nich do dvou let začala výstavba nového domu. Podobnou nabídku řeší i Krnov.</w:t>
      </w:r>
    </w:p>
    <w:p>
      <w:pPr/>
      <w:r>
        <w:rPr/>
        <w:t xml:space="preserve">POLICIE HLÍDÁ PROVOZ U STAVBY RONDELU V DOBRÉ</w:t>
      </w:r>
    </w:p>
    <w:p>
      <w:pPr/>
      <w:r>
        <w:rPr/>
        <w:t xml:space="preserve">Někteří řidiči nerespektují změny v dopravě u stavba okružní křižovatky v Dobré. Odbočují do zákazu a vytvářejí tak nebezpečné situace a komplikují provoz ostatním. Místo proto začali hlídat dopravní policisté. Stavba za 46 milionů korun by měla být hotová by měla být do pěti měsíců.</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i w:val="1"/>
          <w:iCs w:val="1"/>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2026-04-14T23:47:46+02:00</dcterms:created>
  <dcterms:modified xsi:type="dcterms:W3CDTF">2026-04-14T23:47:46+02:00</dcterms:modified>
</cp:coreProperties>
</file>

<file path=docProps/custom.xml><?xml version="1.0" encoding="utf-8"?>
<Properties xmlns="http://schemas.openxmlformats.org/officeDocument/2006/custom-properties" xmlns:vt="http://schemas.openxmlformats.org/officeDocument/2006/docPropsVTypes"/>
</file>