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15:19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přibývá případů šíření a výroby drog</w:t>
      </w:r>
    </w:p>
    <w:p>
      <w:pPr/>
      <w:r>
        <w:rPr/>
        <w:t xml:space="preserve">V minulých dnech se podařilo opavským kriminalistům týmu toxi zadržet 5 mužů, kteří se starali v posledních dvou letech o zásobovaní města pervitinem. V čele skupiny byl Opavan, který už měl bohatou kriminální minulost. Za podobnou činnost byl totiž odsouzen. </w:t>
      </w:r>
    </w:p>
    <w:p>
      <w:pPr/>
      <w:r>
        <w:rPr/>
        <w:t xml:space="preserve">Adam Suchánek, kriminalista: “Jedná se o skupinu osob, kterou vede 31letý muž z Opavy, který pervitin poskytoval dalším 4 osobám, které ho především na území Opavy prodávali. Pervitin nakupoval od jiných výrobců na území města Opavy a Ostravy. Někteří z nich už jsou samostatně trestně stíháni </w:t>
      </w:r>
    </w:p>
    <w:p>
      <w:pPr/>
      <w:r>
        <w:rPr/>
        <w:t xml:space="preserve">Zbývající čtyři obvinění jsou ve věku mezi 22 - 31 lety. Ti od něj pervitin a někdy i marihuanu odebírali. Pervitin prodávali koncovým uživatelům za cenu tisíc korun za gram. Jeden ze zatčených dokonce pervitin doma i vařil. Podobných případů na Opavsku přibývá.</w:t>
      </w:r>
    </w:p>
    <w:p>
      <w:pPr/>
      <w:r>
        <w:rPr/>
        <w:t xml:space="preserve">Pavla Welnová, mluvčí PČR Opava: “Kriminalisté opavského toxi týmu od začátku letošního roku objasnili 38 trestných činů, spadající do problematiky nealkoholové toxikomanie. Za výrobu nebo distribuci drog bylo dohromady trestně stíháno 45 osob. Při domovních prohlídkách policisté zajistili více jak 3 kilogramy marihuany a desítky gramů pervitinu.”</w:t>
      </w:r>
    </w:p>
    <w:p>
      <w:pPr/>
      <w:r>
        <w:rPr/>
        <w:t xml:space="preserve">V posledním případě hrozí hlavnímu obviněnému 10 let vězení. Jeho odběratelům pak poloviční tresty. Případ budeme 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564/na-opavsku-pribyva-pripadu-sireni-a-vyroby-dr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2026-06-28T05:49:10+02:00</dcterms:created>
  <dcterms:modified xsi:type="dcterms:W3CDTF">2026-06-28T05:49:10+02:00</dcterms:modified>
</cp:coreProperties>
</file>

<file path=docProps/custom.xml><?xml version="1.0" encoding="utf-8"?>
<Properties xmlns="http://schemas.openxmlformats.org/officeDocument/2006/custom-properties" xmlns:vt="http://schemas.openxmlformats.org/officeDocument/2006/docPropsVTypes"/>
</file>