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20.6.2016, 22:12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loni snížilo zadluženost o 90 milionů</w:t>
      </w:r>
    </w:p>
    <w:p>
      <w:pPr/>
      <w:r>
        <w:rPr/>
        <w:t xml:space="preserve">Frýdeckomístečtí zastupitelé projednali a schválili závěrečný účet města za loňský rok. Celkové příjmy za rok 2015 činily 1 miliardu 174 miliony korun, což je i po úpravách rozpočtu o 43 milionů více, než se předpokládalo. Nárůst byl zejména u daní z příjmů právnických a fyzických osob a DPH, které byly vyšší o celkem 35 milionů. Výdaje města činily 1 miliardu 175 milionů. Milionový schodek mezi příjmy a výdaji byl krytý zdroji z okruhu financování, a to zůstatkem z roku 2014. Na celkových výdajích města se běžné výdaje podílely 71% a dosáhly výše 840 milionů korun, kapitálové výdaje se podílely 29% a dosáhly výše 355 milionů.</w:t>
      </w:r>
    </w:p>
    <w:p>
      <w:pPr/>
      <w:r>
        <w:rPr/>
        <w:t xml:space="preserve">Michal Pobucký (ČSSD), primátor města Frýdku-Místku: “Město Frýdek-Místek je ve velmi dobré ekonomické kondici. V letošním rozpočtu už jsme udělali rezervu ve výši 80 milionů korun, která se může použít na budoucí investiční akce, například pokud se bude realizovat přestavba kina Petra Bezruče na divadlo, případně i na jiné investiční akce.”</w:t>
      </w:r>
    </w:p>
    <w:p>
      <w:pPr/>
      <w:r>
        <w:rPr/>
        <w:t xml:space="preserve"> Zadluženost města k 31. prosinci roku 2015 dosáhla výše 250 milionů korun, což je o 90 milionů méně než na konci roku 2014. V minulém roce město nečerpalo žádný nový úvěr a splatilo jeden ze tří úvěrů.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613/mesto-loni-snizilo-zadluzenost-o-9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2026-08-17T11:43:29+02:00</dcterms:created>
  <dcterms:modified xsi:type="dcterms:W3CDTF">2026-08-17T11:43:29+02:00</dcterms:modified>
</cp:coreProperties>
</file>

<file path=docProps/custom.xml><?xml version="1.0" encoding="utf-8"?>
<Properties xmlns="http://schemas.openxmlformats.org/officeDocument/2006/custom-properties" xmlns:vt="http://schemas.openxmlformats.org/officeDocument/2006/docPropsVTypes"/>
</file>